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9" w:rsidRDefault="00A41239" w:rsidP="00A41239">
      <w:pPr>
        <w:spacing w:after="0" w:line="360" w:lineRule="auto"/>
        <w:jc w:val="both"/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41239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Title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: </w:t>
      </w:r>
      <w:r w:rsidR="00903CC7" w:rsidRPr="00A41239"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  <w:t xml:space="preserve">Enhancing Student Support Service for Addressing Barriers to Learning: The case of </w:t>
      </w:r>
      <w:proofErr w:type="spellStart"/>
      <w:r w:rsidR="00903CC7" w:rsidRPr="00A41239"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  <w:t>Tana</w:t>
      </w:r>
      <w:proofErr w:type="spellEnd"/>
      <w:r w:rsidR="00903CC7" w:rsidRPr="00A41239"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3CC7" w:rsidRPr="00A41239"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  <w:t>Haiq</w:t>
      </w:r>
      <w:proofErr w:type="spellEnd"/>
      <w:r w:rsidR="00903CC7" w:rsidRPr="00A41239">
        <w:rPr>
          <w:rFonts w:eastAsia="Times New Roman" w:cs="Times New Roman"/>
          <w:bCs/>
          <w:color w:val="222222"/>
          <w:sz w:val="24"/>
          <w:szCs w:val="24"/>
          <w:shd w:val="clear" w:color="auto" w:fill="FFFFFF"/>
        </w:rPr>
        <w:t xml:space="preserve"> Secondary and Preparatory school</w:t>
      </w:r>
    </w:p>
    <w:p w:rsidR="00A41239" w:rsidRDefault="00A41239" w:rsidP="00A41239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:rsidR="00EA0E0D" w:rsidRDefault="000941CA" w:rsidP="00A41239">
      <w:pPr>
        <w:spacing w:after="0" w:line="360" w:lineRule="auto"/>
        <w:jc w:val="both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 w:rsidRPr="000941CA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Principal Investigator:</w:t>
      </w:r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A41239" w:rsidRPr="000941CA" w:rsidRDefault="000941CA" w:rsidP="00EA0E0D">
      <w:pPr>
        <w:spacing w:after="0" w:line="360" w:lineRule="auto"/>
        <w:ind w:left="1440"/>
        <w:jc w:val="both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Birhan</w:t>
      </w:r>
      <w:proofErr w:type="spellEnd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Kefyalew</w:t>
      </w:r>
      <w:proofErr w:type="spellEnd"/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Dep</w:t>
      </w:r>
      <w:r w:rsidR="00755D0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t. </w:t>
      </w:r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of Educational Planning &amp; Management (EDPM), BDU</w:t>
      </w:r>
    </w:p>
    <w:p w:rsidR="00EA0E0D" w:rsidRDefault="000941CA" w:rsidP="00A41239">
      <w:pPr>
        <w:spacing w:after="0" w:line="360" w:lineRule="auto"/>
        <w:jc w:val="both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 w:rsidRPr="000941CA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Co-investigator:</w:t>
      </w:r>
      <w:r w:rsidRPr="000941CA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0941CA" w:rsidRPr="000941CA" w:rsidRDefault="000941CA" w:rsidP="00EA0E0D">
      <w:pPr>
        <w:spacing w:after="0" w:line="360" w:lineRule="auto"/>
        <w:ind w:left="720" w:firstLine="720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Meseret</w:t>
      </w:r>
      <w:proofErr w:type="spellEnd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Ayalew</w:t>
      </w:r>
      <w:proofErr w:type="spellEnd"/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Department of Psychology, BDU</w:t>
      </w:r>
    </w:p>
    <w:p w:rsidR="000941CA" w:rsidRPr="000941CA" w:rsidRDefault="000941CA" w:rsidP="00EA0E0D">
      <w:pPr>
        <w:spacing w:after="0" w:line="360" w:lineRule="auto"/>
        <w:ind w:left="720" w:firstLine="720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Minichil</w:t>
      </w:r>
      <w:proofErr w:type="spellEnd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Yismaw</w:t>
      </w:r>
      <w:proofErr w:type="spellEnd"/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Department of Psychology, BDU</w:t>
      </w:r>
    </w:p>
    <w:p w:rsidR="000941CA" w:rsidRPr="000941CA" w:rsidRDefault="000941CA" w:rsidP="00EA0E0D">
      <w:pPr>
        <w:spacing w:after="0" w:line="360" w:lineRule="auto"/>
        <w:ind w:left="1440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Endayehu</w:t>
      </w:r>
      <w:proofErr w:type="spellEnd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Tegegn</w:t>
      </w:r>
      <w:proofErr w:type="spellEnd"/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Dep</w:t>
      </w:r>
      <w:r w:rsidR="00755D0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t. </w:t>
      </w:r>
      <w:r w:rsidR="00EA0E0D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of Adult Education &amp; Community Development, BDU</w:t>
      </w:r>
    </w:p>
    <w:p w:rsidR="00A41239" w:rsidRDefault="00A41239" w:rsidP="00A41239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:rsidR="00903CC7" w:rsidRPr="00A41239" w:rsidRDefault="00903CC7" w:rsidP="008245A3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A41239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project</w:t>
      </w:r>
      <w:r w:rsidRPr="00A41239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focuses on learning environment with particular reference to student support systems that enables students to feel connected with school, feel motivated and engaged and develop self-discipline </w:t>
      </w:r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proofErr w:type="spellStart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Tana</w:t>
      </w:r>
      <w:proofErr w:type="spellEnd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Haiq</w:t>
      </w:r>
      <w:proofErr w:type="spellEnd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general secondary and preparatory school, </w:t>
      </w:r>
      <w:proofErr w:type="spellStart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Bahir</w:t>
      </w:r>
      <w:proofErr w:type="spellEnd"/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Dar, Ethiopia. </w:t>
      </w:r>
      <w:r w:rsidRPr="00A41239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Th</w:t>
      </w:r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e objectives of the project are </w:t>
      </w:r>
      <w:r w:rsidRPr="00A41239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to explore ways of improving learning environment specifically how to support and empower students so as to enhance their achievement, motivation and self-discipline</w:t>
      </w:r>
      <w:r w:rsidR="000941C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and to </w:t>
      </w:r>
      <w:r w:rsidRPr="00A41239">
        <w:rPr>
          <w:rFonts w:eastAsia="Times New Roman" w:cs="Times New Roman"/>
          <w:color w:val="222222"/>
          <w:sz w:val="24"/>
          <w:szCs w:val="24"/>
        </w:rPr>
        <w:t>identify major barriers to learning that exist</w:t>
      </w:r>
      <w:r w:rsidR="000941CA">
        <w:rPr>
          <w:rFonts w:eastAsia="Times New Roman" w:cs="Times New Roman"/>
          <w:color w:val="222222"/>
          <w:sz w:val="24"/>
          <w:szCs w:val="24"/>
        </w:rPr>
        <w:t xml:space="preserve"> in the study setting</w:t>
      </w:r>
      <w:r w:rsidRPr="00A41239">
        <w:rPr>
          <w:rFonts w:eastAsia="Times New Roman" w:cs="Times New Roman"/>
          <w:color w:val="222222"/>
          <w:sz w:val="24"/>
          <w:szCs w:val="24"/>
        </w:rPr>
        <w:t>. Identifying context specific barriers help</w:t>
      </w:r>
      <w:r w:rsidR="000941CA">
        <w:rPr>
          <w:rFonts w:eastAsia="Times New Roman" w:cs="Times New Roman"/>
          <w:color w:val="222222"/>
          <w:sz w:val="24"/>
          <w:szCs w:val="24"/>
        </w:rPr>
        <w:t>s</w:t>
      </w:r>
      <w:r w:rsidRPr="00A41239">
        <w:rPr>
          <w:rFonts w:eastAsia="Times New Roman" w:cs="Times New Roman"/>
          <w:color w:val="222222"/>
          <w:sz w:val="24"/>
          <w:szCs w:val="24"/>
        </w:rPr>
        <w:t xml:space="preserve"> to design intervention that fits to the context. The </w:t>
      </w:r>
      <w:r w:rsidR="000941CA">
        <w:rPr>
          <w:rFonts w:eastAsia="Times New Roman" w:cs="Times New Roman"/>
          <w:color w:val="222222"/>
          <w:sz w:val="24"/>
          <w:szCs w:val="24"/>
        </w:rPr>
        <w:t xml:space="preserve">project has the purpose of </w:t>
      </w:r>
      <w:r w:rsidRPr="00A41239">
        <w:rPr>
          <w:rFonts w:eastAsia="Times New Roman" w:cs="Times New Roman"/>
          <w:color w:val="222222"/>
          <w:sz w:val="24"/>
          <w:szCs w:val="24"/>
        </w:rPr>
        <w:t>enhancing student support system</w:t>
      </w:r>
      <w:r w:rsidR="000941CA">
        <w:rPr>
          <w:rFonts w:eastAsia="Times New Roman" w:cs="Times New Roman"/>
          <w:color w:val="222222"/>
          <w:sz w:val="24"/>
          <w:szCs w:val="24"/>
        </w:rPr>
        <w:t xml:space="preserve"> at the school</w:t>
      </w:r>
      <w:r w:rsidRPr="00A41239">
        <w:rPr>
          <w:rFonts w:eastAsia="Times New Roman" w:cs="Times New Roman"/>
          <w:color w:val="222222"/>
          <w:sz w:val="24"/>
          <w:szCs w:val="24"/>
        </w:rPr>
        <w:t>. In relation to this, the statues</w:t>
      </w:r>
      <w:r w:rsidR="000941CA">
        <w:rPr>
          <w:rFonts w:eastAsia="Times New Roman" w:cs="Times New Roman"/>
          <w:color w:val="222222"/>
          <w:sz w:val="24"/>
          <w:szCs w:val="24"/>
        </w:rPr>
        <w:t>-</w:t>
      </w:r>
      <w:r w:rsidRPr="00A41239">
        <w:rPr>
          <w:rFonts w:eastAsia="Times New Roman" w:cs="Times New Roman"/>
          <w:color w:val="222222"/>
          <w:sz w:val="24"/>
          <w:szCs w:val="24"/>
        </w:rPr>
        <w:t>qu</w:t>
      </w:r>
      <w:r w:rsidR="000941CA">
        <w:rPr>
          <w:rFonts w:eastAsia="Times New Roman" w:cs="Times New Roman"/>
          <w:color w:val="222222"/>
          <w:sz w:val="24"/>
          <w:szCs w:val="24"/>
        </w:rPr>
        <w:t>o</w:t>
      </w:r>
      <w:r w:rsidRPr="00A41239">
        <w:rPr>
          <w:rFonts w:eastAsia="Times New Roman" w:cs="Times New Roman"/>
          <w:color w:val="222222"/>
          <w:sz w:val="24"/>
          <w:szCs w:val="24"/>
        </w:rPr>
        <w:t xml:space="preserve"> of current support services</w:t>
      </w:r>
      <w:r w:rsidR="000941CA">
        <w:rPr>
          <w:rFonts w:eastAsia="Times New Roman" w:cs="Times New Roman"/>
          <w:color w:val="222222"/>
          <w:sz w:val="24"/>
          <w:szCs w:val="24"/>
        </w:rPr>
        <w:t>, t</w:t>
      </w:r>
      <w:r w:rsidRPr="00A41239">
        <w:rPr>
          <w:rFonts w:eastAsia="Times New Roman" w:cs="Times New Roman"/>
          <w:color w:val="222222"/>
          <w:sz w:val="24"/>
          <w:szCs w:val="24"/>
        </w:rPr>
        <w:t>he weakness, strengths and gaps of existing support system</w:t>
      </w:r>
      <w:r w:rsidR="000941CA">
        <w:rPr>
          <w:rFonts w:eastAsia="Times New Roman" w:cs="Times New Roman"/>
          <w:color w:val="222222"/>
          <w:sz w:val="24"/>
          <w:szCs w:val="24"/>
        </w:rPr>
        <w:t>s</w:t>
      </w:r>
      <w:r w:rsidRPr="00A41239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0941CA">
        <w:rPr>
          <w:rFonts w:eastAsia="Times New Roman" w:cs="Times New Roman"/>
          <w:color w:val="222222"/>
          <w:sz w:val="24"/>
          <w:szCs w:val="24"/>
        </w:rPr>
        <w:t>and the</w:t>
      </w:r>
      <w:r w:rsidRPr="00A41239">
        <w:rPr>
          <w:rFonts w:eastAsia="Times New Roman" w:cs="Times New Roman"/>
          <w:color w:val="222222"/>
          <w:sz w:val="24"/>
          <w:szCs w:val="24"/>
        </w:rPr>
        <w:t xml:space="preserve"> areas of support according teachers and students </w:t>
      </w:r>
      <w:r w:rsidR="000941CA">
        <w:rPr>
          <w:rFonts w:eastAsia="Times New Roman" w:cs="Times New Roman"/>
          <w:color w:val="222222"/>
          <w:sz w:val="24"/>
          <w:szCs w:val="24"/>
        </w:rPr>
        <w:t>will be explored</w:t>
      </w:r>
      <w:r w:rsidRPr="00A41239">
        <w:rPr>
          <w:rFonts w:eastAsia="Times New Roman" w:cs="Times New Roman"/>
          <w:color w:val="222222"/>
          <w:sz w:val="24"/>
          <w:szCs w:val="24"/>
        </w:rPr>
        <w:t xml:space="preserve">. </w:t>
      </w:r>
      <w:r w:rsidR="008245A3">
        <w:rPr>
          <w:rFonts w:eastAsia="Times New Roman" w:cs="Times New Roman"/>
          <w:color w:val="222222"/>
          <w:sz w:val="24"/>
          <w:szCs w:val="24"/>
        </w:rPr>
        <w:t xml:space="preserve">The project is believed to </w:t>
      </w:r>
      <w:r w:rsidRPr="00A41239">
        <w:rPr>
          <w:rFonts w:eastAsia="Times New Roman" w:cs="Times New Roman"/>
          <w:color w:val="222222"/>
          <w:sz w:val="24"/>
          <w:szCs w:val="24"/>
        </w:rPr>
        <w:t>strengthen the capacity of the school teachers as well as principals to design and implement inter</w:t>
      </w:r>
      <w:r w:rsidR="008245A3">
        <w:rPr>
          <w:rFonts w:eastAsia="Times New Roman" w:cs="Times New Roman"/>
          <w:color w:val="222222"/>
          <w:sz w:val="24"/>
          <w:szCs w:val="24"/>
        </w:rPr>
        <w:t>ventions as needed by students.</w:t>
      </w:r>
    </w:p>
    <w:p w:rsidR="00360A93" w:rsidRPr="00A41239" w:rsidRDefault="00755D00" w:rsidP="00A41239">
      <w:pPr>
        <w:spacing w:after="0" w:line="360" w:lineRule="auto"/>
        <w:jc w:val="both"/>
        <w:rPr>
          <w:sz w:val="24"/>
          <w:szCs w:val="24"/>
        </w:rPr>
      </w:pPr>
    </w:p>
    <w:sectPr w:rsidR="00360A93" w:rsidRPr="00A41239" w:rsidSect="0081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CC7"/>
    <w:rsid w:val="000941CA"/>
    <w:rsid w:val="0010021E"/>
    <w:rsid w:val="002A1CC5"/>
    <w:rsid w:val="00755D00"/>
    <w:rsid w:val="00815576"/>
    <w:rsid w:val="008245A3"/>
    <w:rsid w:val="0090148A"/>
    <w:rsid w:val="00903CC7"/>
    <w:rsid w:val="00A16116"/>
    <w:rsid w:val="00A41239"/>
    <w:rsid w:val="00C33F12"/>
    <w:rsid w:val="00EA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 A. Getahun</dc:creator>
  <cp:lastModifiedBy>Dawit A. Getahun</cp:lastModifiedBy>
  <cp:revision>4</cp:revision>
  <dcterms:created xsi:type="dcterms:W3CDTF">2017-11-02T13:30:00Z</dcterms:created>
  <dcterms:modified xsi:type="dcterms:W3CDTF">2017-11-03T03:59:00Z</dcterms:modified>
</cp:coreProperties>
</file>